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52" w:rsidRDefault="00273952" w:rsidP="00A956D0">
      <w:pPr>
        <w:autoSpaceDE w:val="0"/>
        <w:autoSpaceDN w:val="0"/>
        <w:adjustRightInd w:val="0"/>
        <w:ind w:firstLine="709"/>
        <w:jc w:val="both"/>
        <w:rPr>
          <w:rFonts w:eastAsia="Calibri"/>
          <w:color w:val="000000"/>
          <w:sz w:val="28"/>
          <w:szCs w:val="28"/>
        </w:rPr>
      </w:pPr>
    </w:p>
    <w:p w:rsidR="00273952" w:rsidRPr="00CE548C" w:rsidRDefault="00CE548C" w:rsidP="00CE548C">
      <w:pPr>
        <w:tabs>
          <w:tab w:val="left" w:pos="6975"/>
        </w:tabs>
        <w:autoSpaceDE w:val="0"/>
        <w:autoSpaceDN w:val="0"/>
        <w:adjustRightInd w:val="0"/>
        <w:jc w:val="both"/>
        <w:rPr>
          <w:rFonts w:eastAsia="Calibri"/>
          <w:b/>
          <w:color w:val="000000"/>
          <w:sz w:val="28"/>
          <w:szCs w:val="28"/>
        </w:rPr>
      </w:pPr>
      <w:r w:rsidRPr="00CE548C">
        <w:rPr>
          <w:rFonts w:eastAsia="Calibri"/>
          <w:b/>
          <w:color w:val="000000"/>
          <w:sz w:val="28"/>
          <w:szCs w:val="28"/>
        </w:rPr>
        <w:t>Федеральное законодательство, направленное на противодействие терроризму</w:t>
      </w:r>
      <w:r>
        <w:rPr>
          <w:rFonts w:eastAsia="Calibri"/>
          <w:b/>
          <w:color w:val="000000"/>
          <w:sz w:val="28"/>
          <w:szCs w:val="28"/>
        </w:rPr>
        <w:t>, порядок обеспечения антитеррористической защищенности социальных объектов</w:t>
      </w:r>
      <w:bookmarkStart w:id="0" w:name="_GoBack"/>
      <w:bookmarkEnd w:id="0"/>
    </w:p>
    <w:p w:rsidR="00CE548C" w:rsidRPr="00CE548C" w:rsidRDefault="00CE548C" w:rsidP="00CE548C">
      <w:pPr>
        <w:tabs>
          <w:tab w:val="left" w:pos="6975"/>
        </w:tabs>
        <w:autoSpaceDE w:val="0"/>
        <w:autoSpaceDN w:val="0"/>
        <w:adjustRightInd w:val="0"/>
        <w:jc w:val="both"/>
        <w:rPr>
          <w:rFonts w:eastAsia="Calibri"/>
          <w:b/>
          <w:color w:val="000000"/>
          <w:sz w:val="28"/>
          <w:szCs w:val="28"/>
        </w:rPr>
      </w:pPr>
    </w:p>
    <w:p w:rsidR="00273952" w:rsidRPr="006F6036" w:rsidRDefault="00273952" w:rsidP="00273952">
      <w:pPr>
        <w:autoSpaceDE w:val="0"/>
        <w:autoSpaceDN w:val="0"/>
        <w:adjustRightInd w:val="0"/>
        <w:ind w:firstLine="851"/>
        <w:jc w:val="both"/>
        <w:outlineLvl w:val="0"/>
        <w:rPr>
          <w:sz w:val="28"/>
          <w:szCs w:val="28"/>
        </w:rPr>
      </w:pPr>
      <w:proofErr w:type="gramStart"/>
      <w:r w:rsidRPr="006F6036">
        <w:rPr>
          <w:sz w:val="28"/>
          <w:szCs w:val="28"/>
        </w:rPr>
        <w:t>В соответствии с требованиями ст. 2 Федерального закона от 06.03.2006 № 35-ФЗ «О противодействии терроризму» (далее - ФЗ № 35) противодействие терроризму в Российской Федерации основывается в том числе, на принципах: приоритета защиты прав и законных интересов лиц, подвергающихся террористической опасности; приоритета мер предупреждения терроризма; соразмерности мер противодействия терроризму степени террористической опасности.</w:t>
      </w:r>
      <w:proofErr w:type="gramEnd"/>
    </w:p>
    <w:p w:rsidR="00273952" w:rsidRPr="006F6036" w:rsidRDefault="00273952" w:rsidP="00273952">
      <w:pPr>
        <w:autoSpaceDE w:val="0"/>
        <w:autoSpaceDN w:val="0"/>
        <w:adjustRightInd w:val="0"/>
        <w:ind w:firstLine="851"/>
        <w:jc w:val="both"/>
        <w:outlineLvl w:val="0"/>
        <w:rPr>
          <w:sz w:val="28"/>
          <w:szCs w:val="28"/>
        </w:rPr>
      </w:pPr>
      <w:proofErr w:type="gramStart"/>
      <w:r w:rsidRPr="006F6036">
        <w:rPr>
          <w:sz w:val="28"/>
          <w:szCs w:val="28"/>
        </w:rPr>
        <w:t>Согласно п. 4 ст. 3 ФЗ № 35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w:t>
      </w:r>
      <w:proofErr w:type="gramEnd"/>
      <w:r w:rsidRPr="006F6036">
        <w:rPr>
          <w:sz w:val="28"/>
          <w:szCs w:val="28"/>
        </w:rPr>
        <w:t xml:space="preserve"> минимизации и (или) ликвидации последствий проявлений терроризма.</w:t>
      </w:r>
    </w:p>
    <w:p w:rsidR="00273952" w:rsidRPr="006F6036" w:rsidRDefault="00273952" w:rsidP="00273952">
      <w:pPr>
        <w:widowControl w:val="0"/>
        <w:autoSpaceDE w:val="0"/>
        <w:autoSpaceDN w:val="0"/>
        <w:adjustRightInd w:val="0"/>
        <w:ind w:firstLine="851"/>
        <w:jc w:val="both"/>
        <w:rPr>
          <w:rFonts w:eastAsia="Calibri"/>
          <w:sz w:val="28"/>
          <w:szCs w:val="28"/>
          <w:lang w:eastAsia="en-US"/>
        </w:rPr>
      </w:pPr>
      <w:r w:rsidRPr="006F6036">
        <w:rPr>
          <w:rFonts w:eastAsia="Calibri"/>
          <w:sz w:val="28"/>
          <w:szCs w:val="28"/>
          <w:lang w:eastAsia="en-US"/>
        </w:rPr>
        <w:t xml:space="preserve">В </w:t>
      </w:r>
      <w:proofErr w:type="gramStart"/>
      <w:r w:rsidRPr="006F6036">
        <w:rPr>
          <w:rFonts w:eastAsia="Calibri"/>
          <w:sz w:val="28"/>
          <w:szCs w:val="28"/>
          <w:lang w:eastAsia="en-US"/>
        </w:rPr>
        <w:t>соответствии</w:t>
      </w:r>
      <w:proofErr w:type="gramEnd"/>
      <w:r w:rsidRPr="006F6036">
        <w:rPr>
          <w:rFonts w:eastAsia="Calibri"/>
          <w:sz w:val="28"/>
          <w:szCs w:val="28"/>
          <w:lang w:eastAsia="en-US"/>
        </w:rPr>
        <w:t xml:space="preserve"> с п. 6 ст. 3 </w:t>
      </w:r>
      <w:r w:rsidRPr="006F6036">
        <w:rPr>
          <w:sz w:val="28"/>
          <w:szCs w:val="28"/>
        </w:rPr>
        <w:t>ФЗ № 35</w:t>
      </w:r>
      <w:r w:rsidRPr="006F6036">
        <w:rPr>
          <w:rFonts w:eastAsia="Calibri"/>
          <w:sz w:val="28"/>
          <w:szCs w:val="28"/>
          <w:lang w:eastAsia="en-US"/>
        </w:rPr>
        <w:t xml:space="preserve">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73952" w:rsidRPr="006F6036" w:rsidRDefault="00273952" w:rsidP="00273952">
      <w:pPr>
        <w:widowControl w:val="0"/>
        <w:autoSpaceDE w:val="0"/>
        <w:autoSpaceDN w:val="0"/>
        <w:adjustRightInd w:val="0"/>
        <w:ind w:firstLine="709"/>
        <w:jc w:val="both"/>
        <w:rPr>
          <w:sz w:val="28"/>
          <w:szCs w:val="28"/>
        </w:rPr>
      </w:pPr>
      <w:r w:rsidRPr="006F6036">
        <w:rPr>
          <w:rFonts w:eastAsia="Calibri"/>
          <w:sz w:val="28"/>
          <w:szCs w:val="28"/>
          <w:lang w:eastAsia="en-US"/>
        </w:rPr>
        <w:t xml:space="preserve">Согласно </w:t>
      </w:r>
      <w:r w:rsidRPr="006F6036">
        <w:rPr>
          <w:sz w:val="28"/>
          <w:szCs w:val="28"/>
        </w:rPr>
        <w:t xml:space="preserve">п. 23 </w:t>
      </w:r>
      <w:r w:rsidRPr="006F6036">
        <w:rPr>
          <w:rFonts w:eastAsiaTheme="minorHAnsi"/>
          <w:sz w:val="28"/>
          <w:szCs w:val="28"/>
          <w:lang w:eastAsia="en-US"/>
        </w:rPr>
        <w:t>постановления</w:t>
      </w:r>
      <w:r w:rsidRPr="006F6036">
        <w:rPr>
          <w:rFonts w:eastAsia="Calibri"/>
          <w:sz w:val="28"/>
          <w:szCs w:val="28"/>
          <w:lang w:eastAsia="en-US"/>
        </w:rPr>
        <w:t xml:space="preserve"> Правительства Российской Федерации от 25.03.2015 № 272 </w:t>
      </w:r>
      <w:r w:rsidRPr="006F6036">
        <w:rPr>
          <w:rFonts w:eastAsiaTheme="minorHAnsi"/>
          <w:spacing w:val="3"/>
          <w:sz w:val="28"/>
          <w:szCs w:val="28"/>
          <w:lang w:eastAsia="en-US"/>
        </w:rPr>
        <w:t>«</w:t>
      </w:r>
      <w:r w:rsidRPr="006F6036">
        <w:rPr>
          <w:rFonts w:eastAsiaTheme="minorHAnsi"/>
          <w:sz w:val="28"/>
          <w:szCs w:val="28"/>
          <w:lang w:eastAsia="en-US"/>
        </w:rP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Pr>
          <w:rFonts w:eastAsiaTheme="minorHAnsi"/>
          <w:sz w:val="28"/>
          <w:szCs w:val="28"/>
          <w:lang w:eastAsia="en-US"/>
        </w:rPr>
        <w:t>войсками национальной гвардии</w:t>
      </w:r>
      <w:r w:rsidRPr="006F6036">
        <w:rPr>
          <w:rFonts w:eastAsiaTheme="minorHAnsi"/>
          <w:sz w:val="28"/>
          <w:szCs w:val="28"/>
          <w:lang w:eastAsia="en-US"/>
        </w:rPr>
        <w:t>, и форм паспортов безопасности таких мест и объектов (территорий)»</w:t>
      </w:r>
      <w:r w:rsidRPr="006F6036">
        <w:rPr>
          <w:sz w:val="28"/>
          <w:szCs w:val="28"/>
        </w:rPr>
        <w:t xml:space="preserve"> все  места  массового  пребывания  людей   независимо   от установленной категории оборудуются:</w:t>
      </w:r>
    </w:p>
    <w:p w:rsidR="00273952" w:rsidRPr="006F6036" w:rsidRDefault="00273952" w:rsidP="002739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F6036">
        <w:rPr>
          <w:sz w:val="28"/>
          <w:szCs w:val="28"/>
        </w:rPr>
        <w:tab/>
        <w:t>а) системой видеонаблюдения;</w:t>
      </w:r>
    </w:p>
    <w:p w:rsidR="00273952" w:rsidRPr="006F6036" w:rsidRDefault="00273952" w:rsidP="002739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F6036">
        <w:rPr>
          <w:sz w:val="28"/>
          <w:szCs w:val="28"/>
        </w:rPr>
        <w:tab/>
        <w:t>б) системой оповещения и управления эвакуацией;</w:t>
      </w:r>
    </w:p>
    <w:p w:rsidR="00273952" w:rsidRPr="006F6036" w:rsidRDefault="00273952" w:rsidP="002739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F6036">
        <w:rPr>
          <w:sz w:val="28"/>
          <w:szCs w:val="28"/>
        </w:rPr>
        <w:tab/>
        <w:t>в) системой освещения.</w:t>
      </w:r>
    </w:p>
    <w:p w:rsidR="00A302A8" w:rsidRPr="006F6036" w:rsidRDefault="00A302A8" w:rsidP="00A302A8">
      <w:pPr>
        <w:widowControl w:val="0"/>
        <w:autoSpaceDE w:val="0"/>
        <w:autoSpaceDN w:val="0"/>
        <w:adjustRightInd w:val="0"/>
        <w:ind w:firstLine="709"/>
        <w:jc w:val="both"/>
        <w:rPr>
          <w:rFonts w:eastAsiaTheme="minorHAnsi"/>
          <w:sz w:val="28"/>
          <w:szCs w:val="28"/>
          <w:lang w:eastAsia="en-US"/>
        </w:rPr>
      </w:pPr>
      <w:proofErr w:type="gramStart"/>
      <w:r w:rsidRPr="006F6036">
        <w:rPr>
          <w:rFonts w:eastAsiaTheme="minorHAnsi"/>
          <w:sz w:val="28"/>
          <w:szCs w:val="28"/>
          <w:lang w:eastAsia="en-US"/>
        </w:rPr>
        <w:t>В соответствии с п. 15</w:t>
      </w:r>
      <w:r w:rsidRPr="006F6036">
        <w:rPr>
          <w:sz w:val="28"/>
          <w:szCs w:val="28"/>
        </w:rPr>
        <w:t xml:space="preserve"> постановления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w:t>
      </w:r>
      <w:r w:rsidRPr="006F6036">
        <w:rPr>
          <w:rFonts w:eastAsiaTheme="minorHAnsi"/>
          <w:sz w:val="28"/>
          <w:szCs w:val="28"/>
          <w:lang w:eastAsia="en-US"/>
        </w:rPr>
        <w:t xml:space="preserve"> в целях обеспечения необходимой степени антитеррористической защищенности с учетом присвоенной категории </w:t>
      </w:r>
      <w:r w:rsidRPr="006F6036">
        <w:rPr>
          <w:rFonts w:eastAsiaTheme="minorHAnsi"/>
          <w:sz w:val="28"/>
          <w:szCs w:val="28"/>
          <w:lang w:eastAsia="en-US"/>
        </w:rPr>
        <w:lastRenderedPageBreak/>
        <w:t>опасности объекты спорта первой - третьей категорий опасности оборудуются инженерно-техническими средствами охраны:</w:t>
      </w:r>
      <w:proofErr w:type="gramEnd"/>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а) объекты спорта, отнесенные к первой категории опасности: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xml:space="preserve">- охранной телевизионной системой с включением в нее системы </w:t>
      </w:r>
      <w:proofErr w:type="spellStart"/>
      <w:r w:rsidRPr="006F6036">
        <w:rPr>
          <w:rFonts w:eastAsiaTheme="minorHAnsi"/>
          <w:sz w:val="28"/>
          <w:szCs w:val="28"/>
          <w:lang w:eastAsia="en-US"/>
        </w:rPr>
        <w:t>видеоидентификации</w:t>
      </w:r>
      <w:proofErr w:type="spellEnd"/>
      <w:r w:rsidRPr="006F6036">
        <w:rPr>
          <w:rFonts w:eastAsiaTheme="minorHAnsi"/>
          <w:sz w:val="28"/>
          <w:szCs w:val="28"/>
          <w:lang w:eastAsia="en-US"/>
        </w:rPr>
        <w:t xml:space="preserve"> физических лиц, обеспечивающей распознавание лиц посетителей, в том числе по базе нарушителей, для автоматического принятия системой контроля управления доступом решения о разрешении доступа;</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xml:space="preserve">- стационарными </w:t>
      </w:r>
      <w:proofErr w:type="spellStart"/>
      <w:r w:rsidRPr="006F6036">
        <w:rPr>
          <w:rFonts w:eastAsiaTheme="minorHAnsi"/>
          <w:sz w:val="28"/>
          <w:szCs w:val="28"/>
          <w:lang w:eastAsia="en-US"/>
        </w:rPr>
        <w:t>металлообнаружителями</w:t>
      </w:r>
      <w:proofErr w:type="spellEnd"/>
      <w:r w:rsidRPr="006F6036">
        <w:rPr>
          <w:rFonts w:eastAsiaTheme="minorHAnsi"/>
          <w:sz w:val="28"/>
          <w:szCs w:val="28"/>
          <w:lang w:eastAsia="en-US"/>
        </w:rPr>
        <w:t>;</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контрольно-пропускными пунктами (постами);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б) объекты спорта, отнесенные ко второй категории опасности: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охранной телевизионной системой, позволяющей при необходимости идентифицировать лица посетителей;</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xml:space="preserve">- стационарными </w:t>
      </w:r>
      <w:proofErr w:type="spellStart"/>
      <w:r w:rsidRPr="006F6036">
        <w:rPr>
          <w:rFonts w:eastAsiaTheme="minorHAnsi"/>
          <w:sz w:val="28"/>
          <w:szCs w:val="28"/>
          <w:lang w:eastAsia="en-US"/>
        </w:rPr>
        <w:t>металлообнаружителями</w:t>
      </w:r>
      <w:proofErr w:type="spellEnd"/>
      <w:r w:rsidRPr="006F6036">
        <w:rPr>
          <w:rFonts w:eastAsiaTheme="minorHAnsi"/>
          <w:sz w:val="28"/>
          <w:szCs w:val="28"/>
          <w:lang w:eastAsia="en-US"/>
        </w:rPr>
        <w:t xml:space="preserve"> или ручными металлоискателями;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контрольно-пропускными пунктами (постами);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в) объекты спорта, отнесенные к третьей категории опасности: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охранной телевизионной системой;</w:t>
      </w:r>
    </w:p>
    <w:p w:rsidR="00A302A8" w:rsidRPr="006F6036" w:rsidRDefault="00A302A8" w:rsidP="00A302A8">
      <w:pPr>
        <w:widowControl w:val="0"/>
        <w:autoSpaceDE w:val="0"/>
        <w:autoSpaceDN w:val="0"/>
        <w:adjustRightInd w:val="0"/>
        <w:ind w:firstLine="540"/>
        <w:jc w:val="both"/>
        <w:rPr>
          <w:rFonts w:eastAsiaTheme="minorHAnsi"/>
          <w:sz w:val="28"/>
          <w:szCs w:val="28"/>
          <w:lang w:eastAsia="en-US"/>
        </w:rPr>
      </w:pPr>
      <w:r w:rsidRPr="006F6036">
        <w:rPr>
          <w:rFonts w:eastAsiaTheme="minorHAnsi"/>
          <w:sz w:val="28"/>
          <w:szCs w:val="28"/>
          <w:lang w:eastAsia="en-US"/>
        </w:rPr>
        <w:t>- ручными металлоискателями.</w:t>
      </w:r>
    </w:p>
    <w:p w:rsidR="00A302A8" w:rsidRPr="003C3BD0" w:rsidRDefault="00A302A8" w:rsidP="00A302A8">
      <w:pPr>
        <w:autoSpaceDE w:val="0"/>
        <w:autoSpaceDN w:val="0"/>
        <w:adjustRightInd w:val="0"/>
        <w:ind w:firstLine="540"/>
        <w:jc w:val="both"/>
        <w:rPr>
          <w:rFonts w:eastAsiaTheme="minorHAnsi"/>
          <w:sz w:val="28"/>
          <w:szCs w:val="28"/>
          <w:lang w:eastAsia="en-US"/>
        </w:rPr>
      </w:pPr>
      <w:proofErr w:type="gramStart"/>
      <w:r w:rsidRPr="003C3BD0">
        <w:rPr>
          <w:rFonts w:eastAsiaTheme="minorHAnsi"/>
          <w:sz w:val="28"/>
          <w:szCs w:val="28"/>
          <w:lang w:eastAsia="en-US"/>
        </w:rPr>
        <w:t xml:space="preserve">В соответствии с </w:t>
      </w:r>
      <w:hyperlink r:id="rId5" w:history="1">
        <w:r w:rsidRPr="003C3BD0">
          <w:rPr>
            <w:rFonts w:eastAsiaTheme="minorHAnsi"/>
            <w:sz w:val="28"/>
            <w:szCs w:val="28"/>
            <w:lang w:eastAsia="en-US"/>
          </w:rPr>
          <w:t>п. 1 ч. 13 ст. 30</w:t>
        </w:r>
      </w:hyperlink>
      <w:r w:rsidRPr="003C3BD0">
        <w:rPr>
          <w:rFonts w:eastAsiaTheme="minorHAnsi"/>
          <w:sz w:val="28"/>
          <w:szCs w:val="28"/>
          <w:lang w:eastAsia="en-US"/>
        </w:rPr>
        <w:t xml:space="preserve"> Федерального закона от 30.12.2009 </w:t>
      </w:r>
      <w:r w:rsidRPr="006F6036">
        <w:rPr>
          <w:rFonts w:eastAsiaTheme="minorHAnsi"/>
          <w:sz w:val="28"/>
          <w:szCs w:val="28"/>
          <w:lang w:eastAsia="en-US"/>
        </w:rPr>
        <w:t>№</w:t>
      </w:r>
      <w:r w:rsidRPr="003C3BD0">
        <w:rPr>
          <w:rFonts w:eastAsiaTheme="minorHAnsi"/>
          <w:sz w:val="28"/>
          <w:szCs w:val="28"/>
          <w:lang w:eastAsia="en-US"/>
        </w:rPr>
        <w:t xml:space="preserve"> 384-ФЗ </w:t>
      </w:r>
      <w:r w:rsidRPr="006F6036">
        <w:rPr>
          <w:rFonts w:eastAsiaTheme="minorHAnsi"/>
          <w:sz w:val="28"/>
          <w:szCs w:val="28"/>
          <w:lang w:eastAsia="en-US"/>
        </w:rPr>
        <w:t>«</w:t>
      </w:r>
      <w:r w:rsidRPr="003C3BD0">
        <w:rPr>
          <w:rFonts w:eastAsiaTheme="minorHAnsi"/>
          <w:sz w:val="28"/>
          <w:szCs w:val="28"/>
          <w:lang w:eastAsia="en-US"/>
        </w:rPr>
        <w:t>Технический регламент зданий и сооружений</w:t>
      </w:r>
      <w:r w:rsidRPr="006F6036">
        <w:rPr>
          <w:rFonts w:eastAsiaTheme="minorHAnsi"/>
          <w:sz w:val="28"/>
          <w:szCs w:val="28"/>
          <w:lang w:eastAsia="en-US"/>
        </w:rPr>
        <w:t>»</w:t>
      </w:r>
      <w:r w:rsidRPr="003C3BD0">
        <w:rPr>
          <w:rFonts w:eastAsiaTheme="minorHAnsi"/>
          <w:sz w:val="28"/>
          <w:szCs w:val="28"/>
          <w:lang w:eastAsia="en-US"/>
        </w:rPr>
        <w:t xml:space="preserve"> для обеспечения защиты от несанкционированного вторжения в здания, в здания с большим количеством посетителей, а также в зданиях образовательных, медицинских, банковских учреждений,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 в том</w:t>
      </w:r>
      <w:proofErr w:type="gramEnd"/>
      <w:r w:rsidRPr="003C3BD0">
        <w:rPr>
          <w:rFonts w:eastAsiaTheme="minorHAnsi"/>
          <w:sz w:val="28"/>
          <w:szCs w:val="28"/>
          <w:lang w:eastAsia="en-US"/>
        </w:rPr>
        <w:t xml:space="preserve"> </w:t>
      </w:r>
      <w:proofErr w:type="gramStart"/>
      <w:r w:rsidRPr="003C3BD0">
        <w:rPr>
          <w:rFonts w:eastAsiaTheme="minorHAnsi"/>
          <w:sz w:val="28"/>
          <w:szCs w:val="28"/>
          <w:lang w:eastAsia="en-US"/>
        </w:rPr>
        <w:t>числе</w:t>
      </w:r>
      <w:proofErr w:type="gramEnd"/>
      <w:r w:rsidRPr="003C3BD0">
        <w:rPr>
          <w:rFonts w:eastAsiaTheme="minorHAnsi"/>
          <w:sz w:val="28"/>
          <w:szCs w:val="28"/>
          <w:lang w:eastAsia="en-US"/>
        </w:rPr>
        <w:t xml:space="preserve"> от угроз террористического характера и несанкционированного вторжения.</w:t>
      </w:r>
    </w:p>
    <w:p w:rsidR="00A302A8" w:rsidRPr="003C3BD0" w:rsidRDefault="00A302A8" w:rsidP="00A302A8">
      <w:pPr>
        <w:autoSpaceDE w:val="0"/>
        <w:autoSpaceDN w:val="0"/>
        <w:adjustRightInd w:val="0"/>
        <w:ind w:firstLine="540"/>
        <w:jc w:val="both"/>
        <w:rPr>
          <w:rFonts w:eastAsiaTheme="minorHAnsi"/>
          <w:sz w:val="28"/>
          <w:szCs w:val="28"/>
          <w:lang w:eastAsia="en-US"/>
        </w:rPr>
      </w:pPr>
      <w:r w:rsidRPr="003C3BD0">
        <w:rPr>
          <w:rFonts w:eastAsiaTheme="minorHAnsi"/>
          <w:sz w:val="28"/>
          <w:szCs w:val="28"/>
          <w:lang w:eastAsia="en-US"/>
        </w:rPr>
        <w:t xml:space="preserve">В силу п. 2 ч. 13 ст. 30 названного Федерального закона </w:t>
      </w:r>
      <w:r w:rsidRPr="006F6036">
        <w:rPr>
          <w:rFonts w:eastAsiaTheme="minorHAnsi"/>
          <w:sz w:val="28"/>
          <w:szCs w:val="28"/>
          <w:lang w:eastAsia="en-US"/>
        </w:rPr>
        <w:t>№</w:t>
      </w:r>
      <w:r w:rsidRPr="003C3BD0">
        <w:rPr>
          <w:rFonts w:eastAsiaTheme="minorHAnsi"/>
          <w:sz w:val="28"/>
          <w:szCs w:val="28"/>
          <w:lang w:eastAsia="en-US"/>
        </w:rPr>
        <w:t xml:space="preserve"> 384-ФЗ в зданиях 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p>
    <w:p w:rsidR="00A302A8" w:rsidRPr="003C3BD0" w:rsidRDefault="00A302A8" w:rsidP="00A302A8">
      <w:pPr>
        <w:autoSpaceDE w:val="0"/>
        <w:autoSpaceDN w:val="0"/>
        <w:adjustRightInd w:val="0"/>
        <w:ind w:firstLine="540"/>
        <w:jc w:val="both"/>
        <w:rPr>
          <w:rFonts w:eastAsiaTheme="minorHAnsi"/>
          <w:sz w:val="28"/>
          <w:szCs w:val="28"/>
          <w:lang w:eastAsia="en-US"/>
        </w:rPr>
      </w:pPr>
      <w:proofErr w:type="gramStart"/>
      <w:r w:rsidRPr="003C3BD0">
        <w:rPr>
          <w:rFonts w:eastAsiaTheme="minorHAnsi"/>
          <w:sz w:val="28"/>
          <w:szCs w:val="28"/>
          <w:lang w:eastAsia="en-US"/>
        </w:rPr>
        <w:t xml:space="preserve">В соответствии с </w:t>
      </w:r>
      <w:hyperlink r:id="rId6" w:history="1">
        <w:r w:rsidRPr="003C3BD0">
          <w:rPr>
            <w:rFonts w:eastAsiaTheme="minorHAnsi"/>
            <w:sz w:val="28"/>
            <w:szCs w:val="28"/>
            <w:lang w:eastAsia="en-US"/>
          </w:rPr>
          <w:t>п. 2 ч. 6 ст. 28</w:t>
        </w:r>
      </w:hyperlink>
      <w:r w:rsidRPr="003C3BD0">
        <w:rPr>
          <w:rFonts w:eastAsiaTheme="minorHAnsi"/>
          <w:sz w:val="28"/>
          <w:szCs w:val="28"/>
          <w:lang w:eastAsia="en-US"/>
        </w:rPr>
        <w:t xml:space="preserve"> Федерального закона от 29.12.2012 </w:t>
      </w:r>
      <w:r w:rsidRPr="006F6036">
        <w:rPr>
          <w:rFonts w:eastAsiaTheme="minorHAnsi"/>
          <w:sz w:val="28"/>
          <w:szCs w:val="28"/>
          <w:lang w:eastAsia="en-US"/>
        </w:rPr>
        <w:t>№</w:t>
      </w:r>
      <w:r w:rsidRPr="003C3BD0">
        <w:rPr>
          <w:rFonts w:eastAsiaTheme="minorHAnsi"/>
          <w:sz w:val="28"/>
          <w:szCs w:val="28"/>
          <w:lang w:eastAsia="en-US"/>
        </w:rPr>
        <w:t xml:space="preserve"> 273-ФЗ </w:t>
      </w:r>
      <w:r w:rsidRPr="006F6036">
        <w:rPr>
          <w:rFonts w:eastAsiaTheme="minorHAnsi"/>
          <w:sz w:val="28"/>
          <w:szCs w:val="28"/>
          <w:lang w:eastAsia="en-US"/>
        </w:rPr>
        <w:t>«</w:t>
      </w:r>
      <w:r w:rsidRPr="003C3BD0">
        <w:rPr>
          <w:rFonts w:eastAsiaTheme="minorHAnsi"/>
          <w:sz w:val="28"/>
          <w:szCs w:val="28"/>
          <w:lang w:eastAsia="en-US"/>
        </w:rPr>
        <w:t>Об образовании в Российской Федерации</w:t>
      </w:r>
      <w:r w:rsidRPr="006F6036">
        <w:rPr>
          <w:rFonts w:eastAsiaTheme="minorHAnsi"/>
          <w:sz w:val="28"/>
          <w:szCs w:val="28"/>
          <w:lang w:eastAsia="en-US"/>
        </w:rPr>
        <w:t>»</w:t>
      </w:r>
      <w:r w:rsidRPr="003C3BD0">
        <w:rPr>
          <w:rFonts w:eastAsiaTheme="minorHAnsi"/>
          <w:sz w:val="28"/>
          <w:szCs w:val="28"/>
          <w:lang w:eastAsia="en-US"/>
        </w:rPr>
        <w:t xml:space="preserve"> образовательная организация обязана создавать безопасные условия обучения, воспитания обучающихся, присмотра и ухода за обучающимися, их содержания в </w:t>
      </w:r>
      <w:r w:rsidRPr="003C3BD0">
        <w:rPr>
          <w:rFonts w:eastAsiaTheme="minorHAnsi"/>
          <w:sz w:val="28"/>
          <w:szCs w:val="28"/>
          <w:lang w:eastAsia="en-US"/>
        </w:rPr>
        <w:lastRenderedPageBreak/>
        <w:t>соответствии с установленными нормами, обеспечивающими жизнь и здоровье обучающихся, работников образовательной организации.</w:t>
      </w:r>
      <w:proofErr w:type="gramEnd"/>
    </w:p>
    <w:p w:rsidR="00A302A8" w:rsidRPr="003C3BD0" w:rsidRDefault="00A302A8" w:rsidP="00A302A8">
      <w:pPr>
        <w:autoSpaceDE w:val="0"/>
        <w:autoSpaceDN w:val="0"/>
        <w:adjustRightInd w:val="0"/>
        <w:ind w:firstLine="540"/>
        <w:jc w:val="both"/>
        <w:rPr>
          <w:rFonts w:eastAsiaTheme="minorHAnsi"/>
          <w:sz w:val="28"/>
          <w:szCs w:val="28"/>
          <w:lang w:eastAsia="en-US"/>
        </w:rPr>
      </w:pPr>
      <w:r w:rsidRPr="003C3BD0">
        <w:rPr>
          <w:rFonts w:eastAsiaTheme="minorHAnsi"/>
          <w:sz w:val="28"/>
          <w:szCs w:val="28"/>
          <w:lang w:eastAsia="en-US"/>
        </w:rPr>
        <w:t xml:space="preserve">Согласно </w:t>
      </w:r>
      <w:hyperlink r:id="rId7" w:history="1">
        <w:r w:rsidRPr="003C3BD0">
          <w:rPr>
            <w:rFonts w:eastAsiaTheme="minorHAnsi"/>
            <w:sz w:val="28"/>
            <w:szCs w:val="28"/>
            <w:lang w:eastAsia="en-US"/>
          </w:rPr>
          <w:t>ч. 1 ст. 28</w:t>
        </w:r>
      </w:hyperlink>
      <w:r w:rsidRPr="003C3BD0">
        <w:rPr>
          <w:rFonts w:eastAsiaTheme="minorHAnsi"/>
          <w:sz w:val="28"/>
          <w:szCs w:val="28"/>
          <w:lang w:eastAsia="en-US"/>
        </w:rPr>
        <w:t xml:space="preserve"> Федерального закона от 30.03.1999 </w:t>
      </w:r>
      <w:r w:rsidRPr="006F6036">
        <w:rPr>
          <w:rFonts w:eastAsiaTheme="minorHAnsi"/>
          <w:sz w:val="28"/>
          <w:szCs w:val="28"/>
          <w:lang w:eastAsia="en-US"/>
        </w:rPr>
        <w:t>№</w:t>
      </w:r>
      <w:r w:rsidRPr="003C3BD0">
        <w:rPr>
          <w:rFonts w:eastAsiaTheme="minorHAnsi"/>
          <w:sz w:val="28"/>
          <w:szCs w:val="28"/>
          <w:lang w:eastAsia="en-US"/>
        </w:rPr>
        <w:t xml:space="preserve"> 52-ФЗ </w:t>
      </w:r>
      <w:r w:rsidRPr="006F6036">
        <w:rPr>
          <w:rFonts w:eastAsiaTheme="minorHAnsi"/>
          <w:sz w:val="28"/>
          <w:szCs w:val="28"/>
          <w:lang w:eastAsia="en-US"/>
        </w:rPr>
        <w:t>«</w:t>
      </w:r>
      <w:r w:rsidRPr="003C3BD0">
        <w:rPr>
          <w:rFonts w:eastAsiaTheme="minorHAnsi"/>
          <w:sz w:val="28"/>
          <w:szCs w:val="28"/>
          <w:lang w:eastAsia="en-US"/>
        </w:rPr>
        <w:t xml:space="preserve">О санитарно-эпидемиологическом </w:t>
      </w:r>
      <w:proofErr w:type="gramStart"/>
      <w:r w:rsidRPr="003C3BD0">
        <w:rPr>
          <w:rFonts w:eastAsiaTheme="minorHAnsi"/>
          <w:sz w:val="28"/>
          <w:szCs w:val="28"/>
          <w:lang w:eastAsia="en-US"/>
        </w:rPr>
        <w:t>благополучии</w:t>
      </w:r>
      <w:proofErr w:type="gramEnd"/>
      <w:r w:rsidRPr="003C3BD0">
        <w:rPr>
          <w:rFonts w:eastAsiaTheme="minorHAnsi"/>
          <w:sz w:val="28"/>
          <w:szCs w:val="28"/>
          <w:lang w:eastAsia="en-US"/>
        </w:rPr>
        <w:t xml:space="preserve"> населения" в образовательных организациях независимо от организационно-правовых форм должны осуществляться меры по сохранению и укреплению здоровья обучающихся и воспитанников, выполняться требования санитарного законодательства.</w:t>
      </w:r>
    </w:p>
    <w:p w:rsidR="00A302A8" w:rsidRPr="003C3BD0" w:rsidRDefault="00A302A8" w:rsidP="00A302A8">
      <w:pPr>
        <w:autoSpaceDE w:val="0"/>
        <w:autoSpaceDN w:val="0"/>
        <w:adjustRightInd w:val="0"/>
        <w:ind w:firstLine="540"/>
        <w:jc w:val="both"/>
        <w:rPr>
          <w:rFonts w:eastAsiaTheme="minorHAnsi"/>
          <w:sz w:val="28"/>
          <w:szCs w:val="28"/>
          <w:lang w:eastAsia="en-US"/>
        </w:rPr>
      </w:pPr>
      <w:r w:rsidRPr="003C3BD0">
        <w:rPr>
          <w:rFonts w:eastAsiaTheme="minorHAnsi"/>
          <w:sz w:val="28"/>
          <w:szCs w:val="28"/>
          <w:lang w:eastAsia="en-US"/>
        </w:rPr>
        <w:t xml:space="preserve">Соблюдение санитарных правил в силу ч. 3 ст. 39 приведенного Федерального закона </w:t>
      </w:r>
      <w:r w:rsidRPr="006F6036">
        <w:rPr>
          <w:rFonts w:eastAsiaTheme="minorHAnsi"/>
          <w:sz w:val="28"/>
          <w:szCs w:val="28"/>
          <w:lang w:eastAsia="en-US"/>
        </w:rPr>
        <w:t>№</w:t>
      </w:r>
      <w:r w:rsidRPr="003C3BD0">
        <w:rPr>
          <w:rFonts w:eastAsiaTheme="minorHAnsi"/>
          <w:sz w:val="28"/>
          <w:szCs w:val="28"/>
          <w:lang w:eastAsia="en-US"/>
        </w:rPr>
        <w:t xml:space="preserve"> 52-ФЗ является обязательным для граждан, индивидуальных предпринимателей и юридических лиц.</w:t>
      </w:r>
    </w:p>
    <w:p w:rsidR="00A302A8" w:rsidRPr="003C3BD0" w:rsidRDefault="00A302A8" w:rsidP="00A302A8">
      <w:pPr>
        <w:autoSpaceDE w:val="0"/>
        <w:autoSpaceDN w:val="0"/>
        <w:adjustRightInd w:val="0"/>
        <w:ind w:firstLine="540"/>
        <w:jc w:val="both"/>
        <w:rPr>
          <w:rFonts w:eastAsiaTheme="minorHAnsi"/>
          <w:sz w:val="28"/>
          <w:szCs w:val="28"/>
          <w:lang w:eastAsia="en-US"/>
        </w:rPr>
      </w:pPr>
      <w:proofErr w:type="gramStart"/>
      <w:r w:rsidRPr="003C3BD0">
        <w:rPr>
          <w:rFonts w:eastAsiaTheme="minorHAnsi"/>
          <w:sz w:val="28"/>
          <w:szCs w:val="28"/>
          <w:lang w:eastAsia="en-US"/>
        </w:rPr>
        <w:t xml:space="preserve">В соответствии с </w:t>
      </w:r>
      <w:hyperlink r:id="rId8" w:history="1">
        <w:r w:rsidRPr="003C3BD0">
          <w:rPr>
            <w:rFonts w:eastAsiaTheme="minorHAnsi"/>
            <w:sz w:val="28"/>
            <w:szCs w:val="28"/>
            <w:lang w:eastAsia="en-US"/>
          </w:rPr>
          <w:t>п. 2.1.15</w:t>
        </w:r>
      </w:hyperlink>
      <w:r w:rsidRPr="003C3BD0">
        <w:rPr>
          <w:rFonts w:eastAsiaTheme="minorHAnsi"/>
          <w:sz w:val="28"/>
          <w:szCs w:val="28"/>
          <w:lang w:eastAsia="en-US"/>
        </w:rPr>
        <w:t xml:space="preserve"> </w:t>
      </w:r>
      <w:r w:rsidRPr="006F6036">
        <w:rPr>
          <w:rFonts w:eastAsiaTheme="minorHAnsi"/>
          <w:sz w:val="28"/>
          <w:szCs w:val="28"/>
          <w:lang w:eastAsia="en-US"/>
        </w:rPr>
        <w:t>«</w:t>
      </w:r>
      <w:r w:rsidRPr="003C3BD0">
        <w:rPr>
          <w:rFonts w:eastAsiaTheme="minorHAnsi"/>
          <w:sz w:val="28"/>
          <w:szCs w:val="28"/>
          <w:lang w:eastAsia="en-US"/>
        </w:rPr>
        <w:t>Санитарно-эпидемиологических требований к организации учебно-производственного процесса в образовательных учреждениях начального профессионального образования СанПиН 2.4.3.1186-03</w:t>
      </w:r>
      <w:r w:rsidRPr="006F6036">
        <w:rPr>
          <w:rFonts w:eastAsiaTheme="minorHAnsi"/>
          <w:sz w:val="28"/>
          <w:szCs w:val="28"/>
          <w:lang w:eastAsia="en-US"/>
        </w:rPr>
        <w:t>»</w:t>
      </w:r>
      <w:r w:rsidRPr="003C3BD0">
        <w:rPr>
          <w:rFonts w:eastAsiaTheme="minorHAnsi"/>
          <w:sz w:val="28"/>
          <w:szCs w:val="28"/>
          <w:lang w:eastAsia="en-US"/>
        </w:rPr>
        <w:t>, утвержденных Главным государственным санитарным врачом Российской Федерации 26.01.2003 года, земельный участок образовательного учреждения начального профессионального образования должен иметь ограждение высотой не менее 1,2 м.</w:t>
      </w:r>
      <w:proofErr w:type="gramEnd"/>
    </w:p>
    <w:p w:rsidR="00A302A8" w:rsidRPr="00F91587" w:rsidRDefault="00A302A8" w:rsidP="00A302A8">
      <w:pPr>
        <w:autoSpaceDE w:val="0"/>
        <w:autoSpaceDN w:val="0"/>
        <w:adjustRightInd w:val="0"/>
        <w:ind w:firstLine="709"/>
        <w:jc w:val="both"/>
        <w:rPr>
          <w:rFonts w:eastAsiaTheme="minorHAnsi"/>
          <w:bCs/>
          <w:sz w:val="28"/>
          <w:szCs w:val="28"/>
          <w:lang w:eastAsia="en-US"/>
        </w:rPr>
      </w:pPr>
      <w:r w:rsidRPr="00F91587">
        <w:rPr>
          <w:rFonts w:eastAsiaTheme="minorHAnsi"/>
          <w:bCs/>
          <w:sz w:val="28"/>
          <w:szCs w:val="28"/>
          <w:lang w:eastAsia="en-US"/>
        </w:rPr>
        <w:t xml:space="preserve">В силу ст. ст. 5, 7, 8, 9, 10 </w:t>
      </w:r>
      <w:r w:rsidRPr="00F91587">
        <w:rPr>
          <w:rFonts w:eastAsiaTheme="minorHAnsi"/>
          <w:sz w:val="28"/>
          <w:szCs w:val="28"/>
          <w:lang w:eastAsia="en-US"/>
        </w:rPr>
        <w:t xml:space="preserve">Федерального закона от 21.07.2011 № 256-ФЗ </w:t>
      </w:r>
      <w:r w:rsidRPr="00F91587">
        <w:rPr>
          <w:rFonts w:eastAsiaTheme="minorHAnsi"/>
          <w:bCs/>
          <w:sz w:val="28"/>
          <w:szCs w:val="28"/>
          <w:lang w:eastAsia="en-US"/>
        </w:rPr>
        <w:t>«О безопасности объектов топливно-энергетического комплекса»</w:t>
      </w:r>
      <w:r w:rsidRPr="00F91587">
        <w:rPr>
          <w:rFonts w:eastAsiaTheme="minorHAnsi"/>
          <w:sz w:val="28"/>
          <w:szCs w:val="28"/>
          <w:lang w:eastAsia="en-US"/>
        </w:rPr>
        <w:t xml:space="preserve"> </w:t>
      </w:r>
      <w:r w:rsidRPr="00F91587">
        <w:rPr>
          <w:rFonts w:eastAsiaTheme="minorHAnsi"/>
          <w:bCs/>
          <w:sz w:val="28"/>
          <w:szCs w:val="28"/>
          <w:lang w:eastAsia="en-US"/>
        </w:rPr>
        <w:t xml:space="preserve">для установления дифференцированных требований обеспечения безопасности объектов топливно-энергетического комплекса с учетом </w:t>
      </w:r>
      <w:proofErr w:type="gramStart"/>
      <w:r w:rsidRPr="00F91587">
        <w:rPr>
          <w:rFonts w:eastAsiaTheme="minorHAnsi"/>
          <w:bCs/>
          <w:sz w:val="28"/>
          <w:szCs w:val="28"/>
          <w:lang w:eastAsia="en-US"/>
        </w:rPr>
        <w:t>степени потенциальной опасности совершения акта незаконного вмешательства</w:t>
      </w:r>
      <w:proofErr w:type="gramEnd"/>
      <w:r w:rsidRPr="00F91587">
        <w:rPr>
          <w:rFonts w:eastAsiaTheme="minorHAnsi"/>
          <w:bCs/>
          <w:sz w:val="28"/>
          <w:szCs w:val="28"/>
          <w:lang w:eastAsia="en-US"/>
        </w:rPr>
        <w:t xml:space="preserve"> и его возможных последствий проводится категорирование объектов. </w:t>
      </w:r>
    </w:p>
    <w:p w:rsidR="00A302A8" w:rsidRPr="00F91587" w:rsidRDefault="00A302A8" w:rsidP="00A302A8">
      <w:pPr>
        <w:autoSpaceDE w:val="0"/>
        <w:autoSpaceDN w:val="0"/>
        <w:adjustRightInd w:val="0"/>
        <w:ind w:firstLine="709"/>
        <w:jc w:val="both"/>
        <w:rPr>
          <w:rFonts w:eastAsiaTheme="minorHAnsi"/>
          <w:bCs/>
          <w:sz w:val="28"/>
          <w:szCs w:val="28"/>
          <w:lang w:eastAsia="en-US"/>
        </w:rPr>
      </w:pPr>
      <w:r w:rsidRPr="00F91587">
        <w:rPr>
          <w:rFonts w:eastAsiaTheme="minorHAnsi"/>
          <w:bCs/>
          <w:sz w:val="28"/>
          <w:szCs w:val="28"/>
          <w:lang w:eastAsia="en-US"/>
        </w:rPr>
        <w:t>С учетом того, является ли объект топливно-энергетического комплекса критически важным, и в зависимости от степени потенциальной опасности объекта топливно-энергетического комплекса устанавливаются три категории объектов топливно-энергетического комплекса:</w:t>
      </w:r>
    </w:p>
    <w:p w:rsidR="00A302A8" w:rsidRPr="00F91587" w:rsidRDefault="00A302A8" w:rsidP="00A302A8">
      <w:pPr>
        <w:autoSpaceDE w:val="0"/>
        <w:autoSpaceDN w:val="0"/>
        <w:adjustRightInd w:val="0"/>
        <w:ind w:firstLine="709"/>
        <w:jc w:val="both"/>
        <w:rPr>
          <w:rFonts w:eastAsiaTheme="minorHAnsi"/>
          <w:bCs/>
          <w:sz w:val="28"/>
          <w:szCs w:val="28"/>
          <w:lang w:eastAsia="en-US"/>
        </w:rPr>
      </w:pPr>
      <w:r w:rsidRPr="00F91587">
        <w:rPr>
          <w:rFonts w:eastAsiaTheme="minorHAnsi"/>
          <w:bCs/>
          <w:sz w:val="28"/>
          <w:szCs w:val="28"/>
          <w:lang w:eastAsia="en-US"/>
        </w:rPr>
        <w:t>1) объекты высокой категории опасности;</w:t>
      </w:r>
    </w:p>
    <w:p w:rsidR="00A302A8" w:rsidRPr="00F91587" w:rsidRDefault="00A302A8" w:rsidP="00A302A8">
      <w:pPr>
        <w:autoSpaceDE w:val="0"/>
        <w:autoSpaceDN w:val="0"/>
        <w:adjustRightInd w:val="0"/>
        <w:ind w:firstLine="709"/>
        <w:jc w:val="both"/>
        <w:rPr>
          <w:rFonts w:eastAsiaTheme="minorHAnsi"/>
          <w:bCs/>
          <w:sz w:val="28"/>
          <w:szCs w:val="28"/>
          <w:lang w:eastAsia="en-US"/>
        </w:rPr>
      </w:pPr>
      <w:r w:rsidRPr="00F91587">
        <w:rPr>
          <w:rFonts w:eastAsiaTheme="minorHAnsi"/>
          <w:bCs/>
          <w:sz w:val="28"/>
          <w:szCs w:val="28"/>
          <w:lang w:eastAsia="en-US"/>
        </w:rPr>
        <w:t>2) объекты средней категории опасности;</w:t>
      </w:r>
    </w:p>
    <w:p w:rsidR="00A302A8" w:rsidRPr="00F91587" w:rsidRDefault="00A302A8" w:rsidP="00A302A8">
      <w:pPr>
        <w:autoSpaceDE w:val="0"/>
        <w:autoSpaceDN w:val="0"/>
        <w:adjustRightInd w:val="0"/>
        <w:ind w:firstLine="709"/>
        <w:jc w:val="both"/>
        <w:rPr>
          <w:rFonts w:eastAsiaTheme="minorHAnsi"/>
          <w:bCs/>
          <w:sz w:val="28"/>
          <w:szCs w:val="28"/>
          <w:lang w:eastAsia="en-US"/>
        </w:rPr>
      </w:pPr>
      <w:r w:rsidRPr="00F91587">
        <w:rPr>
          <w:rFonts w:eastAsiaTheme="minorHAnsi"/>
          <w:bCs/>
          <w:sz w:val="28"/>
          <w:szCs w:val="28"/>
          <w:lang w:eastAsia="en-US"/>
        </w:rPr>
        <w:t>3) объекты низкой категории опасности.</w:t>
      </w:r>
    </w:p>
    <w:p w:rsidR="00A302A8" w:rsidRPr="00F91587" w:rsidRDefault="00A302A8" w:rsidP="00A302A8">
      <w:pPr>
        <w:autoSpaceDE w:val="0"/>
        <w:autoSpaceDN w:val="0"/>
        <w:adjustRightInd w:val="0"/>
        <w:ind w:firstLine="709"/>
        <w:jc w:val="both"/>
        <w:rPr>
          <w:rFonts w:eastAsiaTheme="minorHAnsi"/>
          <w:bCs/>
          <w:sz w:val="28"/>
          <w:szCs w:val="28"/>
          <w:lang w:eastAsia="en-US"/>
        </w:rPr>
      </w:pPr>
      <w:proofErr w:type="gramStart"/>
      <w:r w:rsidRPr="00F91587">
        <w:rPr>
          <w:rFonts w:eastAsiaTheme="minorHAnsi"/>
          <w:bCs/>
          <w:sz w:val="28"/>
          <w:szCs w:val="28"/>
          <w:lang w:eastAsia="en-US"/>
        </w:rPr>
        <w:t>Перечень объектов топливно-энергетического комплекса, подлежащих категорированию,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коллегиального органа по противодействию терроризму, который сформирован в субъекте Российской Федерации и в состав которого входят представители федеральных органов государственной власти, органов исполнительной власти субъекта Российской Федерации и органов местного самоуправления.</w:t>
      </w:r>
      <w:proofErr w:type="gramEnd"/>
    </w:p>
    <w:p w:rsidR="00A302A8" w:rsidRPr="00F91587" w:rsidRDefault="00A302A8" w:rsidP="00A302A8">
      <w:pPr>
        <w:autoSpaceDE w:val="0"/>
        <w:autoSpaceDN w:val="0"/>
        <w:adjustRightInd w:val="0"/>
        <w:ind w:firstLine="540"/>
        <w:jc w:val="both"/>
        <w:rPr>
          <w:rFonts w:eastAsiaTheme="minorHAnsi"/>
          <w:bCs/>
          <w:sz w:val="28"/>
          <w:szCs w:val="28"/>
          <w:lang w:eastAsia="en-US"/>
        </w:rPr>
      </w:pPr>
      <w:r w:rsidRPr="00F91587">
        <w:rPr>
          <w:rFonts w:eastAsiaTheme="minorHAnsi"/>
          <w:bCs/>
          <w:sz w:val="28"/>
          <w:szCs w:val="28"/>
          <w:lang w:eastAsia="en-US"/>
        </w:rPr>
        <w:t xml:space="preserve">Требования обеспечения безопасности объектов топливно-энергетического комплекса и требования антитеррористической защищенности объектов топливно-энергетического комплекса в зависимости от установленной категории опасности объектов определяются Правительством Российской Федерации. Указанные требования являются </w:t>
      </w:r>
      <w:r w:rsidRPr="00F91587">
        <w:rPr>
          <w:rFonts w:eastAsiaTheme="minorHAnsi"/>
          <w:bCs/>
          <w:sz w:val="28"/>
          <w:szCs w:val="28"/>
          <w:lang w:eastAsia="en-US"/>
        </w:rPr>
        <w:lastRenderedPageBreak/>
        <w:t>обязательными для выполнения субъектами топливно-энергетического комплекса.</w:t>
      </w:r>
    </w:p>
    <w:p w:rsidR="00A302A8" w:rsidRPr="00F91587" w:rsidRDefault="00A302A8" w:rsidP="00A302A8">
      <w:pPr>
        <w:autoSpaceDE w:val="0"/>
        <w:autoSpaceDN w:val="0"/>
        <w:adjustRightInd w:val="0"/>
        <w:ind w:firstLine="540"/>
        <w:jc w:val="both"/>
        <w:rPr>
          <w:rFonts w:eastAsiaTheme="minorHAnsi"/>
          <w:bCs/>
          <w:sz w:val="28"/>
          <w:szCs w:val="28"/>
          <w:lang w:eastAsia="en-US"/>
        </w:rPr>
      </w:pPr>
      <w:r w:rsidRPr="00F91587">
        <w:rPr>
          <w:rFonts w:eastAsiaTheme="minorHAnsi"/>
          <w:bCs/>
          <w:sz w:val="28"/>
          <w:szCs w:val="28"/>
          <w:lang w:eastAsia="en-US"/>
        </w:rPr>
        <w:t>Субъекты топливно-энергетического комплекса составляют паспорта безопасности объектов топливно-энергетического комплекса по форме согласно приложению к настоящему Федеральному закону.</w:t>
      </w:r>
    </w:p>
    <w:p w:rsidR="00A302A8" w:rsidRPr="00F91587" w:rsidRDefault="00A302A8" w:rsidP="00A302A8">
      <w:pPr>
        <w:autoSpaceDE w:val="0"/>
        <w:autoSpaceDN w:val="0"/>
        <w:adjustRightInd w:val="0"/>
        <w:ind w:firstLine="540"/>
        <w:jc w:val="both"/>
        <w:rPr>
          <w:rFonts w:eastAsiaTheme="minorHAnsi"/>
          <w:bCs/>
          <w:sz w:val="28"/>
          <w:szCs w:val="28"/>
          <w:lang w:eastAsia="en-US"/>
        </w:rPr>
      </w:pPr>
      <w:proofErr w:type="gramStart"/>
      <w:r w:rsidRPr="00F91587">
        <w:rPr>
          <w:rFonts w:eastAsiaTheme="minorHAnsi"/>
          <w:bCs/>
          <w:sz w:val="28"/>
          <w:szCs w:val="28"/>
          <w:lang w:eastAsia="en-US"/>
        </w:rPr>
        <w:t xml:space="preserve">Паспорт безопасности объекта топливно-энергетического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 а также на основании оценки достаточности инженерно-технических мероприятий, мероприятий по физической защите и охране объекта при террористических угрозах согласно требованиям, определенным Правительством Российской Федерации в соответствии со </w:t>
      </w:r>
      <w:hyperlink w:anchor="Par24" w:history="1">
        <w:r w:rsidRPr="00F91587">
          <w:rPr>
            <w:rFonts w:eastAsiaTheme="minorHAnsi"/>
            <w:bCs/>
            <w:color w:val="0000FF"/>
            <w:sz w:val="28"/>
            <w:szCs w:val="28"/>
            <w:lang w:eastAsia="en-US"/>
          </w:rPr>
          <w:t>статьей 7</w:t>
        </w:r>
      </w:hyperlink>
      <w:r w:rsidRPr="00F91587">
        <w:rPr>
          <w:rFonts w:eastAsiaTheme="minorHAnsi"/>
          <w:bCs/>
          <w:sz w:val="28"/>
          <w:szCs w:val="28"/>
          <w:lang w:eastAsia="en-US"/>
        </w:rPr>
        <w:t xml:space="preserve"> настоящего Федерального закона.</w:t>
      </w:r>
      <w:proofErr w:type="gramEnd"/>
    </w:p>
    <w:p w:rsidR="00A302A8" w:rsidRPr="00F91587" w:rsidRDefault="00A302A8" w:rsidP="00A302A8">
      <w:pPr>
        <w:autoSpaceDE w:val="0"/>
        <w:autoSpaceDN w:val="0"/>
        <w:adjustRightInd w:val="0"/>
        <w:ind w:firstLine="540"/>
        <w:jc w:val="both"/>
        <w:rPr>
          <w:rFonts w:eastAsiaTheme="minorHAnsi"/>
          <w:bCs/>
          <w:sz w:val="28"/>
          <w:szCs w:val="28"/>
          <w:lang w:eastAsia="en-US"/>
        </w:rPr>
      </w:pPr>
      <w:r w:rsidRPr="00F91587">
        <w:rPr>
          <w:rFonts w:eastAsiaTheme="minorHAnsi"/>
          <w:bCs/>
          <w:sz w:val="28"/>
          <w:szCs w:val="28"/>
          <w:lang w:eastAsia="en-US"/>
        </w:rPr>
        <w:t>Система физической защиты объектов топливно-энергетического комплекса представляет собой совокупность направленных на предотвращение актов незаконного вмешательства организационных, административных и правовых мер, инженерно-технических средств охраны и действий подразделений охраны, имеющих в своем распоряжении гражданское, служебное оружие и специальные средства.</w:t>
      </w:r>
    </w:p>
    <w:p w:rsidR="00A302A8" w:rsidRPr="00F91587" w:rsidRDefault="00A302A8" w:rsidP="00A302A8">
      <w:pPr>
        <w:autoSpaceDE w:val="0"/>
        <w:autoSpaceDN w:val="0"/>
        <w:adjustRightInd w:val="0"/>
        <w:ind w:firstLine="540"/>
        <w:jc w:val="both"/>
        <w:rPr>
          <w:rFonts w:eastAsiaTheme="minorHAnsi"/>
          <w:bCs/>
          <w:sz w:val="28"/>
          <w:szCs w:val="28"/>
          <w:lang w:eastAsia="en-US"/>
        </w:rPr>
      </w:pPr>
      <w:r w:rsidRPr="00F91587">
        <w:rPr>
          <w:rFonts w:eastAsiaTheme="minorHAnsi"/>
          <w:bCs/>
          <w:sz w:val="28"/>
          <w:szCs w:val="28"/>
          <w:lang w:eastAsia="en-US"/>
        </w:rPr>
        <w:t>На работу, непосредственно связанную с обеспечением безопасности объектов топливно-энергетического комплекса, не принимаются лица:</w:t>
      </w:r>
    </w:p>
    <w:p w:rsidR="00A302A8" w:rsidRPr="00F91587" w:rsidRDefault="00A302A8" w:rsidP="00A302A8">
      <w:pPr>
        <w:autoSpaceDE w:val="0"/>
        <w:autoSpaceDN w:val="0"/>
        <w:adjustRightInd w:val="0"/>
        <w:ind w:firstLine="540"/>
        <w:jc w:val="both"/>
        <w:rPr>
          <w:rFonts w:eastAsiaTheme="minorHAnsi"/>
          <w:bCs/>
          <w:sz w:val="28"/>
          <w:szCs w:val="28"/>
          <w:lang w:eastAsia="en-US"/>
        </w:rPr>
      </w:pPr>
      <w:proofErr w:type="gramStart"/>
      <w:r w:rsidRPr="00F91587">
        <w:rPr>
          <w:rFonts w:eastAsiaTheme="minorHAnsi"/>
          <w:bCs/>
          <w:sz w:val="28"/>
          <w:szCs w:val="28"/>
          <w:lang w:eastAsia="en-US"/>
        </w:rPr>
        <w:t>1) имеющие неснятую или непогашенную судимость за совершение умышленного преступления;</w:t>
      </w:r>
      <w:proofErr w:type="gramEnd"/>
    </w:p>
    <w:p w:rsidR="00A302A8" w:rsidRPr="00F91587" w:rsidRDefault="00A302A8" w:rsidP="00A302A8">
      <w:pPr>
        <w:autoSpaceDE w:val="0"/>
        <w:autoSpaceDN w:val="0"/>
        <w:adjustRightInd w:val="0"/>
        <w:ind w:firstLine="540"/>
        <w:jc w:val="both"/>
        <w:rPr>
          <w:rFonts w:eastAsiaTheme="minorHAnsi"/>
          <w:bCs/>
          <w:sz w:val="28"/>
          <w:szCs w:val="28"/>
          <w:lang w:eastAsia="en-US"/>
        </w:rPr>
      </w:pPr>
      <w:r w:rsidRPr="00F91587">
        <w:rPr>
          <w:rFonts w:eastAsiaTheme="minorHAnsi"/>
          <w:bCs/>
          <w:sz w:val="28"/>
          <w:szCs w:val="28"/>
          <w:lang w:eastAsia="en-US"/>
        </w:rPr>
        <w:t>2) состоящие на учете в учреждениях органов здравоохранения по поводу психического заболевания, алкоголизма или наркомании;</w:t>
      </w:r>
    </w:p>
    <w:p w:rsidR="00A302A8" w:rsidRPr="00F91587" w:rsidRDefault="00A302A8" w:rsidP="00A302A8">
      <w:pPr>
        <w:autoSpaceDE w:val="0"/>
        <w:autoSpaceDN w:val="0"/>
        <w:adjustRightInd w:val="0"/>
        <w:ind w:firstLine="540"/>
        <w:jc w:val="both"/>
        <w:rPr>
          <w:rFonts w:eastAsiaTheme="minorHAnsi"/>
          <w:bCs/>
          <w:sz w:val="28"/>
          <w:szCs w:val="28"/>
          <w:lang w:eastAsia="en-US"/>
        </w:rPr>
      </w:pPr>
      <w:proofErr w:type="gramStart"/>
      <w:r w:rsidRPr="00F91587">
        <w:rPr>
          <w:rFonts w:eastAsiaTheme="minorHAnsi"/>
          <w:bCs/>
          <w:sz w:val="28"/>
          <w:szCs w:val="28"/>
          <w:lang w:eastAsia="en-US"/>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F91587">
        <w:rPr>
          <w:rFonts w:eastAsiaTheme="minorHAnsi"/>
          <w:bCs/>
          <w:sz w:val="28"/>
          <w:szCs w:val="28"/>
          <w:lang w:eastAsia="en-US"/>
        </w:rPr>
        <w:t xml:space="preserve"> увольнения прошло менее трех лет.</w:t>
      </w:r>
    </w:p>
    <w:p w:rsidR="00A302A8" w:rsidRPr="006F4754" w:rsidRDefault="00A302A8" w:rsidP="00A302A8">
      <w:pPr>
        <w:autoSpaceDE w:val="0"/>
        <w:autoSpaceDN w:val="0"/>
        <w:adjustRightInd w:val="0"/>
        <w:ind w:firstLine="540"/>
        <w:jc w:val="both"/>
        <w:rPr>
          <w:rFonts w:eastAsiaTheme="minorHAnsi"/>
          <w:bCs/>
          <w:sz w:val="28"/>
          <w:szCs w:val="28"/>
          <w:lang w:eastAsia="en-US"/>
        </w:rPr>
      </w:pPr>
      <w:r w:rsidRPr="006F4754">
        <w:rPr>
          <w:rFonts w:eastAsiaTheme="minorHAnsi"/>
          <w:bCs/>
          <w:sz w:val="28"/>
          <w:szCs w:val="28"/>
          <w:lang w:eastAsia="en-US"/>
        </w:rPr>
        <w:t xml:space="preserve">В </w:t>
      </w:r>
      <w:proofErr w:type="gramStart"/>
      <w:r w:rsidRPr="006F4754">
        <w:rPr>
          <w:rFonts w:eastAsiaTheme="minorHAnsi"/>
          <w:bCs/>
          <w:sz w:val="28"/>
          <w:szCs w:val="28"/>
          <w:lang w:eastAsia="en-US"/>
        </w:rPr>
        <w:t>соответствии</w:t>
      </w:r>
      <w:proofErr w:type="gramEnd"/>
      <w:r w:rsidRPr="006F4754">
        <w:rPr>
          <w:rFonts w:eastAsiaTheme="minorHAnsi"/>
          <w:bCs/>
          <w:sz w:val="28"/>
          <w:szCs w:val="28"/>
          <w:lang w:eastAsia="en-US"/>
        </w:rPr>
        <w:t xml:space="preserve"> со ст. ст. 1, 5, 6 Федерального закона от 09.02.2007 № 16-ФЗ «О транспортной безопасности» объекты транспортной инфраструктуры - технологический комплекс, включающий в себя:</w:t>
      </w:r>
    </w:p>
    <w:p w:rsidR="00A302A8" w:rsidRPr="006F4754" w:rsidRDefault="00A302A8" w:rsidP="00A302A8">
      <w:pPr>
        <w:autoSpaceDE w:val="0"/>
        <w:autoSpaceDN w:val="0"/>
        <w:adjustRightInd w:val="0"/>
        <w:ind w:firstLine="540"/>
        <w:jc w:val="both"/>
        <w:rPr>
          <w:rFonts w:eastAsiaTheme="minorHAnsi"/>
          <w:bCs/>
          <w:sz w:val="28"/>
          <w:szCs w:val="28"/>
          <w:lang w:eastAsia="en-US"/>
        </w:rPr>
      </w:pPr>
      <w:r w:rsidRPr="006F4754">
        <w:rPr>
          <w:rFonts w:eastAsiaTheme="minorHAnsi"/>
          <w:bCs/>
          <w:sz w:val="28"/>
          <w:szCs w:val="28"/>
          <w:lang w:eastAsia="en-US"/>
        </w:rPr>
        <w:t>а) железнодорожные, автомобильные вокзалы и станции;</w:t>
      </w:r>
    </w:p>
    <w:p w:rsidR="00A302A8" w:rsidRPr="006F4754" w:rsidRDefault="00A302A8" w:rsidP="00A302A8">
      <w:pPr>
        <w:autoSpaceDE w:val="0"/>
        <w:autoSpaceDN w:val="0"/>
        <w:adjustRightInd w:val="0"/>
        <w:ind w:firstLine="540"/>
        <w:jc w:val="both"/>
        <w:rPr>
          <w:rFonts w:eastAsiaTheme="minorHAnsi"/>
          <w:bCs/>
          <w:sz w:val="28"/>
          <w:szCs w:val="28"/>
          <w:lang w:eastAsia="en-US"/>
        </w:rPr>
      </w:pPr>
      <w:r w:rsidRPr="006F4754">
        <w:rPr>
          <w:rFonts w:eastAsiaTheme="minorHAnsi"/>
          <w:bCs/>
          <w:sz w:val="28"/>
          <w:szCs w:val="28"/>
          <w:lang w:eastAsia="en-US"/>
        </w:rPr>
        <w:t>б) метрополитены;</w:t>
      </w:r>
    </w:p>
    <w:p w:rsidR="00A302A8" w:rsidRPr="006F4754" w:rsidRDefault="00A302A8" w:rsidP="00A302A8">
      <w:pPr>
        <w:autoSpaceDE w:val="0"/>
        <w:autoSpaceDN w:val="0"/>
        <w:adjustRightInd w:val="0"/>
        <w:ind w:firstLine="540"/>
        <w:jc w:val="both"/>
        <w:rPr>
          <w:rFonts w:eastAsiaTheme="minorHAnsi"/>
          <w:bCs/>
          <w:sz w:val="28"/>
          <w:szCs w:val="28"/>
          <w:lang w:eastAsia="en-US"/>
        </w:rPr>
      </w:pPr>
      <w:r w:rsidRPr="006F4754">
        <w:rPr>
          <w:rFonts w:eastAsiaTheme="minorHAnsi"/>
          <w:bCs/>
          <w:sz w:val="28"/>
          <w:szCs w:val="28"/>
          <w:lang w:eastAsia="en-US"/>
        </w:rPr>
        <w:t>в) тоннели, эстакады, мосты;</w:t>
      </w:r>
    </w:p>
    <w:p w:rsidR="00A302A8" w:rsidRPr="006F4754" w:rsidRDefault="00A302A8" w:rsidP="00A302A8">
      <w:pPr>
        <w:autoSpaceDE w:val="0"/>
        <w:autoSpaceDN w:val="0"/>
        <w:adjustRightInd w:val="0"/>
        <w:ind w:firstLine="540"/>
        <w:jc w:val="both"/>
        <w:rPr>
          <w:rFonts w:eastAsiaTheme="minorHAnsi"/>
          <w:bCs/>
          <w:sz w:val="28"/>
          <w:szCs w:val="28"/>
          <w:lang w:eastAsia="en-US"/>
        </w:rPr>
      </w:pPr>
      <w:r w:rsidRPr="006F4754">
        <w:rPr>
          <w:rFonts w:eastAsiaTheme="minorHAnsi"/>
          <w:bCs/>
          <w:sz w:val="28"/>
          <w:szCs w:val="28"/>
          <w:lang w:eastAsia="en-US"/>
        </w:rPr>
        <w:t>г) морские терминалы, акватории морских портов;</w:t>
      </w:r>
    </w:p>
    <w:p w:rsidR="00A302A8" w:rsidRPr="006F4754" w:rsidRDefault="00A302A8" w:rsidP="00A302A8">
      <w:pPr>
        <w:autoSpaceDE w:val="0"/>
        <w:autoSpaceDN w:val="0"/>
        <w:adjustRightInd w:val="0"/>
        <w:ind w:firstLine="540"/>
        <w:jc w:val="both"/>
        <w:rPr>
          <w:rFonts w:eastAsiaTheme="minorHAnsi"/>
          <w:b/>
          <w:bCs/>
          <w:sz w:val="28"/>
          <w:szCs w:val="28"/>
          <w:lang w:eastAsia="en-US"/>
        </w:rPr>
      </w:pPr>
      <w:proofErr w:type="gramStart"/>
      <w:r w:rsidRPr="006F4754">
        <w:rPr>
          <w:rFonts w:eastAsiaTheme="minorHAnsi"/>
          <w:bCs/>
          <w:sz w:val="28"/>
          <w:szCs w:val="28"/>
          <w:lang w:eastAsia="en-US"/>
        </w:rPr>
        <w:t xml:space="preserve">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w:t>
      </w:r>
      <w:r w:rsidRPr="006F4754">
        <w:rPr>
          <w:rFonts w:eastAsiaTheme="minorHAnsi"/>
          <w:bCs/>
          <w:sz w:val="28"/>
          <w:szCs w:val="28"/>
          <w:lang w:eastAsia="en-US"/>
        </w:rPr>
        <w:lastRenderedPageBreak/>
        <w:t>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rsidRPr="006F4754">
        <w:rPr>
          <w:rFonts w:eastAsiaTheme="minorHAnsi"/>
          <w:bCs/>
          <w:sz w:val="28"/>
          <w:szCs w:val="28"/>
          <w:lang w:eastAsia="en-US"/>
        </w:rP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A302A8" w:rsidRPr="006F4754" w:rsidRDefault="00A302A8" w:rsidP="00A302A8">
      <w:pPr>
        <w:autoSpaceDE w:val="0"/>
        <w:autoSpaceDN w:val="0"/>
        <w:adjustRightInd w:val="0"/>
        <w:ind w:firstLine="540"/>
        <w:jc w:val="both"/>
        <w:rPr>
          <w:rFonts w:eastAsiaTheme="minorHAnsi"/>
          <w:sz w:val="28"/>
          <w:szCs w:val="28"/>
          <w:lang w:eastAsia="en-US"/>
        </w:rPr>
      </w:pPr>
      <w:r w:rsidRPr="006F4754">
        <w:rPr>
          <w:rFonts w:eastAsiaTheme="minorHAnsi"/>
          <w:sz w:val="28"/>
          <w:szCs w:val="28"/>
          <w:lang w:eastAsia="en-US"/>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A302A8" w:rsidRPr="006F4754" w:rsidRDefault="00A302A8" w:rsidP="00A302A8">
      <w:pPr>
        <w:autoSpaceDE w:val="0"/>
        <w:autoSpaceDN w:val="0"/>
        <w:adjustRightInd w:val="0"/>
        <w:ind w:firstLine="540"/>
        <w:jc w:val="both"/>
        <w:rPr>
          <w:rFonts w:eastAsiaTheme="minorHAnsi"/>
          <w:sz w:val="28"/>
          <w:szCs w:val="28"/>
          <w:lang w:eastAsia="en-US"/>
        </w:rPr>
      </w:pPr>
      <w:r w:rsidRPr="006F4754">
        <w:rPr>
          <w:rFonts w:eastAsiaTheme="minorHAnsi"/>
          <w:sz w:val="28"/>
          <w:szCs w:val="28"/>
          <w:lang w:eastAsia="en-US"/>
        </w:rPr>
        <w:t>ж) аэродромы, аэропорты, объекты систем связи, навигации и управления движением транспортных средств;</w:t>
      </w:r>
    </w:p>
    <w:p w:rsidR="00A302A8" w:rsidRPr="006F4754" w:rsidRDefault="00A302A8" w:rsidP="00A302A8">
      <w:pPr>
        <w:autoSpaceDE w:val="0"/>
        <w:autoSpaceDN w:val="0"/>
        <w:adjustRightInd w:val="0"/>
        <w:ind w:firstLine="540"/>
        <w:jc w:val="both"/>
        <w:rPr>
          <w:rFonts w:eastAsiaTheme="minorHAnsi"/>
          <w:sz w:val="28"/>
          <w:szCs w:val="28"/>
          <w:lang w:eastAsia="en-US"/>
        </w:rPr>
      </w:pPr>
      <w:r w:rsidRPr="006F4754">
        <w:rPr>
          <w:rFonts w:eastAsiaTheme="minorHAnsi"/>
          <w:sz w:val="28"/>
          <w:szCs w:val="28"/>
          <w:lang w:eastAsia="en-US"/>
        </w:rPr>
        <w:t>з) 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A302A8" w:rsidRPr="006F4754" w:rsidRDefault="00CE548C" w:rsidP="00A302A8">
      <w:pPr>
        <w:autoSpaceDE w:val="0"/>
        <w:autoSpaceDN w:val="0"/>
        <w:adjustRightInd w:val="0"/>
        <w:ind w:firstLine="540"/>
        <w:jc w:val="both"/>
        <w:rPr>
          <w:rFonts w:eastAsiaTheme="minorHAnsi"/>
          <w:sz w:val="28"/>
          <w:szCs w:val="28"/>
          <w:lang w:eastAsia="en-US"/>
        </w:rPr>
      </w:pPr>
      <w:hyperlink r:id="rId9" w:history="1">
        <w:proofErr w:type="gramStart"/>
        <w:r w:rsidR="00A302A8" w:rsidRPr="006F4754">
          <w:rPr>
            <w:rFonts w:eastAsiaTheme="minorHAnsi"/>
            <w:sz w:val="28"/>
            <w:szCs w:val="28"/>
            <w:lang w:eastAsia="en-US"/>
          </w:rPr>
          <w:t>Порядок</w:t>
        </w:r>
      </w:hyperlink>
      <w:r w:rsidR="00A302A8" w:rsidRPr="006F4754">
        <w:rPr>
          <w:rFonts w:eastAsiaTheme="minorHAnsi"/>
          <w:sz w:val="28"/>
          <w:szCs w:val="28"/>
          <w:lang w:eastAsia="en-US"/>
        </w:rP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A302A8" w:rsidRDefault="00A302A8" w:rsidP="00A302A8">
      <w:pPr>
        <w:autoSpaceDE w:val="0"/>
        <w:autoSpaceDN w:val="0"/>
        <w:adjustRightInd w:val="0"/>
        <w:ind w:firstLine="540"/>
        <w:jc w:val="both"/>
        <w:rPr>
          <w:rFonts w:eastAsiaTheme="minorHAnsi"/>
          <w:bCs/>
          <w:sz w:val="28"/>
          <w:szCs w:val="28"/>
          <w:lang w:eastAsia="en-US"/>
        </w:rPr>
      </w:pPr>
      <w:r w:rsidRPr="006F4754">
        <w:rPr>
          <w:rFonts w:eastAsiaTheme="minorHAnsi"/>
          <w:bCs/>
          <w:sz w:val="28"/>
          <w:szCs w:val="28"/>
          <w:lang w:eastAsia="en-US"/>
        </w:rPr>
        <w:t xml:space="preserve">Объекты транспортной инфраструктуры и транспортные средства подлежат обязательному категорированию с учетом </w:t>
      </w:r>
      <w:proofErr w:type="gramStart"/>
      <w:r w:rsidRPr="006F4754">
        <w:rPr>
          <w:rFonts w:eastAsiaTheme="minorHAnsi"/>
          <w:bCs/>
          <w:sz w:val="28"/>
          <w:szCs w:val="28"/>
          <w:lang w:eastAsia="en-US"/>
        </w:rPr>
        <w:t>степени угрозы совершения акта незаконного вмешательства</w:t>
      </w:r>
      <w:proofErr w:type="gramEnd"/>
      <w:r w:rsidRPr="006F4754">
        <w:rPr>
          <w:rFonts w:eastAsiaTheme="minorHAnsi"/>
          <w:bCs/>
          <w:sz w:val="28"/>
          <w:szCs w:val="28"/>
          <w:lang w:eastAsia="en-US"/>
        </w:rPr>
        <w:t xml:space="preserve"> и его возможных последствий, за исключением случаев, предусмотренны</w:t>
      </w:r>
      <w:r>
        <w:rPr>
          <w:rFonts w:eastAsiaTheme="minorHAnsi"/>
          <w:bCs/>
          <w:sz w:val="28"/>
          <w:szCs w:val="28"/>
          <w:lang w:eastAsia="en-US"/>
        </w:rPr>
        <w:t>х настоящим Федеральным законом.</w:t>
      </w:r>
    </w:p>
    <w:p w:rsidR="00CE548C" w:rsidRDefault="00CE548C" w:rsidP="00A302A8">
      <w:pPr>
        <w:autoSpaceDE w:val="0"/>
        <w:autoSpaceDN w:val="0"/>
        <w:adjustRightInd w:val="0"/>
        <w:ind w:firstLine="540"/>
        <w:jc w:val="both"/>
        <w:rPr>
          <w:rFonts w:eastAsiaTheme="minorHAnsi"/>
          <w:bCs/>
          <w:sz w:val="28"/>
          <w:szCs w:val="28"/>
          <w:lang w:eastAsia="en-US"/>
        </w:rPr>
      </w:pPr>
    </w:p>
    <w:p w:rsidR="00CE548C" w:rsidRPr="00A302A8" w:rsidRDefault="00CE548C" w:rsidP="00CE548C">
      <w:pPr>
        <w:autoSpaceDE w:val="0"/>
        <w:autoSpaceDN w:val="0"/>
        <w:adjustRightInd w:val="0"/>
        <w:ind w:left="7080"/>
        <w:jc w:val="both"/>
        <w:rPr>
          <w:rFonts w:eastAsiaTheme="minorHAnsi"/>
          <w:bCs/>
          <w:sz w:val="28"/>
          <w:szCs w:val="28"/>
          <w:lang w:eastAsia="en-US"/>
        </w:rPr>
      </w:pPr>
      <w:r>
        <w:rPr>
          <w:rFonts w:eastAsiaTheme="minorHAnsi"/>
          <w:bCs/>
          <w:sz w:val="28"/>
          <w:szCs w:val="28"/>
          <w:lang w:eastAsia="en-US"/>
        </w:rPr>
        <w:t xml:space="preserve">         И.Л. Саманба</w:t>
      </w:r>
    </w:p>
    <w:sectPr w:rsidR="00CE548C" w:rsidRPr="00A3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0"/>
    <w:rsid w:val="001A297B"/>
    <w:rsid w:val="00220495"/>
    <w:rsid w:val="00273952"/>
    <w:rsid w:val="00313AEB"/>
    <w:rsid w:val="005E34FD"/>
    <w:rsid w:val="00743459"/>
    <w:rsid w:val="00A302A8"/>
    <w:rsid w:val="00A956D0"/>
    <w:rsid w:val="00AB48D2"/>
    <w:rsid w:val="00CE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48C"/>
    <w:rPr>
      <w:rFonts w:ascii="Tahoma" w:hAnsi="Tahoma" w:cs="Tahoma"/>
      <w:sz w:val="16"/>
      <w:szCs w:val="16"/>
    </w:rPr>
  </w:style>
  <w:style w:type="character" w:customStyle="1" w:styleId="a4">
    <w:name w:val="Текст выноски Знак"/>
    <w:basedOn w:val="a0"/>
    <w:link w:val="a3"/>
    <w:uiPriority w:val="99"/>
    <w:semiHidden/>
    <w:rsid w:val="00CE54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48C"/>
    <w:rPr>
      <w:rFonts w:ascii="Tahoma" w:hAnsi="Tahoma" w:cs="Tahoma"/>
      <w:sz w:val="16"/>
      <w:szCs w:val="16"/>
    </w:rPr>
  </w:style>
  <w:style w:type="character" w:customStyle="1" w:styleId="a4">
    <w:name w:val="Текст выноски Знак"/>
    <w:basedOn w:val="a0"/>
    <w:link w:val="a3"/>
    <w:uiPriority w:val="99"/>
    <w:semiHidden/>
    <w:rsid w:val="00CE54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1C967A7578D63EBBD5EC990543A3A181CF798B68ECBF46B1509F9361C57F81427E9289E7FEA4DXCS5F" TargetMode="External"/><Relationship Id="rId3" Type="http://schemas.openxmlformats.org/officeDocument/2006/relationships/settings" Target="settings.xml"/><Relationship Id="rId7" Type="http://schemas.openxmlformats.org/officeDocument/2006/relationships/hyperlink" Target="consultantplus://offline/ref=0B61C967A7578D63EBBD5EC990543A3A181BF19AB48ECBF46B1509F9361C57F81427E92B9DX7S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61C967A7578D63EBBD5EC990543A3A181BF095BC82CBF46B1509F9361C57F81427E9289E7FEE49XCSBF" TargetMode="External"/><Relationship Id="rId11" Type="http://schemas.openxmlformats.org/officeDocument/2006/relationships/theme" Target="theme/theme1.xml"/><Relationship Id="rId5" Type="http://schemas.openxmlformats.org/officeDocument/2006/relationships/hyperlink" Target="consultantplus://offline/ref=0B61C967A7578D63EBBD5EC990543A3A1819FD9BB58FCBF46B1509F9361C57F81427E9X2S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03FFB307A476D0CCC648887ABCDE6109748ECE300E54BE77DE1E3F5CAAF60F134E2BD12041CD57y3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 Мария В.</dc:creator>
  <cp:lastModifiedBy>Саманба Иван</cp:lastModifiedBy>
  <cp:revision>4</cp:revision>
  <cp:lastPrinted>2017-04-13T17:30:00Z</cp:lastPrinted>
  <dcterms:created xsi:type="dcterms:W3CDTF">2017-04-07T15:33:00Z</dcterms:created>
  <dcterms:modified xsi:type="dcterms:W3CDTF">2017-04-13T17:30:00Z</dcterms:modified>
</cp:coreProperties>
</file>